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E355CF" w14:textId="1485972E" w:rsidR="000F554F" w:rsidRPr="000F554F" w:rsidRDefault="000F554F" w:rsidP="00CB1A7D">
      <w:pPr>
        <w:rPr>
          <w:b/>
          <w:bCs/>
          <w:sz w:val="28"/>
          <w:szCs w:val="28"/>
        </w:rPr>
      </w:pPr>
      <w:r w:rsidRPr="000F554F">
        <w:rPr>
          <w:b/>
          <w:bCs/>
          <w:sz w:val="28"/>
          <w:szCs w:val="28"/>
        </w:rPr>
        <w:t xml:space="preserve">Bijlage </w:t>
      </w:r>
      <w:r w:rsidR="00925A36">
        <w:rPr>
          <w:b/>
          <w:bCs/>
          <w:sz w:val="28"/>
          <w:szCs w:val="28"/>
        </w:rPr>
        <w:t xml:space="preserve">11 </w:t>
      </w:r>
      <w:r w:rsidRPr="000F554F">
        <w:rPr>
          <w:b/>
          <w:bCs/>
          <w:sz w:val="28"/>
          <w:szCs w:val="28"/>
        </w:rPr>
        <w:t>Prestatieladder Social</w:t>
      </w:r>
      <w:r w:rsidR="00231B57">
        <w:rPr>
          <w:b/>
          <w:bCs/>
          <w:sz w:val="28"/>
          <w:szCs w:val="28"/>
        </w:rPr>
        <w:t>er</w:t>
      </w:r>
      <w:r w:rsidRPr="000F554F">
        <w:rPr>
          <w:b/>
          <w:bCs/>
          <w:sz w:val="28"/>
          <w:szCs w:val="28"/>
        </w:rPr>
        <w:t xml:space="preserve"> Ondernemen</w:t>
      </w:r>
    </w:p>
    <w:p w14:paraId="669B8BAB" w14:textId="77777777" w:rsidR="000F554F" w:rsidRDefault="000F554F" w:rsidP="00CB1A7D"/>
    <w:p w14:paraId="6F54D72A" w14:textId="3B5FD5D8" w:rsidR="00CB1A7D" w:rsidRDefault="00CB1A7D" w:rsidP="00CB1A7D">
      <w:r>
        <w:t xml:space="preserve">De provincie Overijssel heeft in haar </w:t>
      </w:r>
      <w:r w:rsidRPr="00295F32">
        <w:t>Inkoop</w:t>
      </w:r>
      <w:r>
        <w:t xml:space="preserve">beleid </w:t>
      </w:r>
      <w:r w:rsidRPr="00295F32">
        <w:t xml:space="preserve">de doelstelling opgenomen dat </w:t>
      </w:r>
      <w:r>
        <w:t xml:space="preserve">bij opdrachtwaarden boven de € 200.000 </w:t>
      </w:r>
      <w:r w:rsidRPr="00295F32">
        <w:t xml:space="preserve">daar waar mogelijk Social Return wordt </w:t>
      </w:r>
      <w:r>
        <w:t>toegepast.</w:t>
      </w:r>
      <w:r w:rsidRPr="00295F32">
        <w:t xml:space="preserve"> Onder Social Return wordt </w:t>
      </w:r>
      <w:r>
        <w:t xml:space="preserve">o.a. </w:t>
      </w:r>
      <w:r w:rsidRPr="00295F32">
        <w:t xml:space="preserve">verstaan de inzet van personen met een grote(re) afstand tot de arbeidsmarkt. </w:t>
      </w:r>
    </w:p>
    <w:p w14:paraId="24CF620B" w14:textId="3067A459" w:rsidR="00CB1A7D" w:rsidRPr="00295F32" w:rsidRDefault="00CB1A7D" w:rsidP="00CB1A7D">
      <w:r w:rsidRPr="00295F32">
        <w:t xml:space="preserve">In deze aanbesteding </w:t>
      </w:r>
      <w:r>
        <w:t xml:space="preserve">legt de provincie </w:t>
      </w:r>
      <w:r w:rsidRPr="00295F32">
        <w:t xml:space="preserve">Social Return niet als een contracteis </w:t>
      </w:r>
      <w:r w:rsidR="000F554F">
        <w:t xml:space="preserve">op </w:t>
      </w:r>
      <w:r w:rsidRPr="00295F32">
        <w:t xml:space="preserve">aan de </w:t>
      </w:r>
      <w:r>
        <w:t>opdrachtnemer</w:t>
      </w:r>
      <w:r w:rsidR="000F554F">
        <w:t xml:space="preserve">, </w:t>
      </w:r>
      <w:r>
        <w:t xml:space="preserve">maar hanteert ze het als </w:t>
      </w:r>
      <w:r w:rsidRPr="00295F32">
        <w:t>gunningscriterium</w:t>
      </w:r>
      <w:r>
        <w:t>.</w:t>
      </w:r>
      <w:r w:rsidRPr="00295F32">
        <w:t xml:space="preserve"> </w:t>
      </w:r>
      <w:r>
        <w:t xml:space="preserve">De provincie Overijssel </w:t>
      </w:r>
      <w:r w:rsidRPr="00295F32">
        <w:t>wil een zo praktisch en uitvoerbaar mogelijke wijze van toepassen Social Return bevorderen en zoekt</w:t>
      </w:r>
      <w:r>
        <w:t xml:space="preserve"> in deze opdracht (vanwege de hoge certificeringsgraad in de betreffende marktsector) </w:t>
      </w:r>
      <w:r w:rsidRPr="00295F32">
        <w:t>aansluiting bij de Prestatieladder Socialer Ondernemen</w:t>
      </w:r>
      <w:r w:rsidR="000F554F">
        <w:t>.</w:t>
      </w:r>
      <w:r w:rsidRPr="00295F32">
        <w:t xml:space="preserve"> </w:t>
      </w:r>
    </w:p>
    <w:p w14:paraId="7E8052A9" w14:textId="77777777" w:rsidR="00D264CE" w:rsidRDefault="00D264CE"/>
    <w:p w14:paraId="121B7ECA" w14:textId="50134DC9" w:rsidR="00D264CE" w:rsidRPr="00D264CE" w:rsidRDefault="00D264CE" w:rsidP="00D264CE">
      <w:pPr>
        <w:rPr>
          <w:b/>
          <w:bCs/>
        </w:rPr>
      </w:pPr>
      <w:r w:rsidRPr="00D264CE">
        <w:rPr>
          <w:b/>
          <w:bCs/>
        </w:rPr>
        <w:t>Wat is het PSO-keurmerk?</w:t>
      </w:r>
    </w:p>
    <w:p w14:paraId="43DBBAF2" w14:textId="77777777" w:rsidR="00D264CE" w:rsidRPr="00D264CE" w:rsidRDefault="00D264CE" w:rsidP="00D264CE">
      <w:r w:rsidRPr="00D264CE">
        <w:t>De Prestatieladder Socialer Ondernemen (PSO) is een wetenschappelijk onderbouwd kwaliteitskeurmerk van </w:t>
      </w:r>
      <w:hyperlink r:id="rId7" w:history="1">
        <w:r w:rsidRPr="00D264CE">
          <w:rPr>
            <w:rStyle w:val="Hyperlink"/>
          </w:rPr>
          <w:t>TNO</w:t>
        </w:r>
      </w:hyperlink>
      <w:r w:rsidRPr="00D264CE">
        <w:t>. Het is een instrument dat inzicht geeft in de mate waarin organisaties meer dan gemiddeld sociaal ondernemen, gericht op de arbeidsparticipatie van kwetsbare groepen op de arbeidsmarkt. De PSO brengt in een peiljaar op bedrijfsniveau de verhouding in kaart tussen het aantal medewerkers met een afstand tot de arbeidsmarkt en het totale aantal werkzame  medewerkers. Het percentage medewerkers met een kwetsbare arbeidsmarktpositie dat werkzaam is bij een organisatie heet </w:t>
      </w:r>
      <w:r w:rsidRPr="00D264CE">
        <w:rPr>
          <w:i/>
          <w:iCs/>
        </w:rPr>
        <w:t>directe sociale bijdrage.</w:t>
      </w:r>
      <w:r w:rsidRPr="00D264CE">
        <w:t> Er is ook een zogeheten</w:t>
      </w:r>
      <w:r w:rsidRPr="00D264CE">
        <w:rPr>
          <w:i/>
          <w:iCs/>
        </w:rPr>
        <w:t> indirecte sociale bijdrage</w:t>
      </w:r>
      <w:r w:rsidRPr="00D264CE">
        <w:t>. Dat is het percentage waarin inkopen van producten of diensten bij PSO-gecertificeerde organisaties en sociale werkvoorzieningen (SW-bedrijven) zijn omgerekend naar het aantal fte van de PSO-doelgroep dat aan dit ingekochte deel van de omzet heeft meegewerkt. Met deze </w:t>
      </w:r>
      <w:r w:rsidRPr="00D264CE">
        <w:rPr>
          <w:i/>
          <w:iCs/>
        </w:rPr>
        <w:t>indirecte sociale bijdrage</w:t>
      </w:r>
      <w:r w:rsidRPr="00D264CE">
        <w:t> komt de zogenoemde ketenstimulering op gang: een stimulans voor de hele keten om bij te dragen aan socialer ondernemen omdat organisaties van elkaar een PSO-certificering vragen.</w:t>
      </w:r>
    </w:p>
    <w:p w14:paraId="5F9F9E59" w14:textId="77777777" w:rsidR="00D264CE" w:rsidRDefault="00D264CE" w:rsidP="00D264CE">
      <w:r w:rsidRPr="00D264CE">
        <w:t>De percentages directe en i</w:t>
      </w:r>
      <w:r w:rsidRPr="00D264CE">
        <w:rPr>
          <w:i/>
          <w:iCs/>
        </w:rPr>
        <w:t>ndirecte sociale</w:t>
      </w:r>
      <w:r w:rsidRPr="00D264CE">
        <w:t> bijdragen tellen we bij elkaar op tot de totale sociale bijdrage. We stellen vervolgens de mate van sociaal ondernemen vast door deze procentuele uitkomst te vergelijken met de normen van de PSO, op basis van het aantal medewerkers dat bij een bepaalde grootteklasse organisatie werkt. De PSO-normen zijn gebaseerd op landelijke representatieve cijfers uit de tweejaarlijkse Werkgevers Enquête Arbeid (WEA) van TNO. De PSO-norm bepaalt de indeling op zogeheten PSO-prestatieniveaus. Een auditor van een certificerende instelling voert vervolgens een onafhankelijke toetsing uit. De auditor kijkt daarbij niet alleen naar het percentage medewerkers met een afstand tot de arbeidsmarkt, maar stelt ook kwalitatieve eisen: de auditor toetst of de organisatie zorgvuldig omgaat met medewerkers.</w:t>
      </w:r>
    </w:p>
    <w:p w14:paraId="7E620E70" w14:textId="77777777" w:rsidR="00D264CE" w:rsidRPr="00D264CE" w:rsidRDefault="00D264CE" w:rsidP="00D264CE"/>
    <w:p w14:paraId="098AB6D8" w14:textId="41E60F2C" w:rsidR="00D264CE" w:rsidRPr="00D264CE" w:rsidRDefault="00D264CE" w:rsidP="00D264CE">
      <w:pPr>
        <w:rPr>
          <w:b/>
          <w:bCs/>
        </w:rPr>
      </w:pPr>
      <w:r w:rsidRPr="00D264CE">
        <w:rPr>
          <w:b/>
          <w:bCs/>
        </w:rPr>
        <w:t>De prestatieniveaus van het PSO-keurmerk</w:t>
      </w:r>
    </w:p>
    <w:p w14:paraId="29952F46" w14:textId="04F22D6E" w:rsidR="00D264CE" w:rsidRDefault="00D264CE" w:rsidP="00D264CE">
      <w:r w:rsidRPr="00D264CE">
        <w:t xml:space="preserve">De Prestatieladder Socialer Ondernemen </w:t>
      </w:r>
      <w:r w:rsidR="000F554F">
        <w:t xml:space="preserve">kent – naast de </w:t>
      </w:r>
      <w:proofErr w:type="spellStart"/>
      <w:r w:rsidR="000F554F">
        <w:t>aspirantstatus</w:t>
      </w:r>
      <w:proofErr w:type="spellEnd"/>
      <w:r w:rsidR="000F554F">
        <w:t xml:space="preserve"> en de basistrede – drie </w:t>
      </w:r>
      <w:r w:rsidRPr="00D264CE">
        <w:t>prestatieniveaus</w:t>
      </w:r>
      <w:r w:rsidR="000F554F">
        <w:t xml:space="preserve">: de </w:t>
      </w:r>
      <w:proofErr w:type="spellStart"/>
      <w:r w:rsidR="000F554F">
        <w:t>tredes</w:t>
      </w:r>
      <w:proofErr w:type="spellEnd"/>
      <w:r w:rsidR="000F554F">
        <w:t xml:space="preserve"> 1, 2 en 3</w:t>
      </w:r>
      <w:r w:rsidRPr="00D264CE">
        <w:t>. Een organisatie die gecertificeerd is op een PSO-trede behoort tot de koplopers als het gaat om werkgelegenheid voor de PSO-doelgroep. Er zijn direct of indirect meer personen uit de PSO-doelgroep werkzaam bij een PSO-gecertificeerde organisatie dan bij organisaties in dezelfde grootteklasse waarin minimaal één persoon uit de PSO-doelgroep werkt. Inkopen bij PSO-gecertificeerde organisaties met een hoger prestatieniveau telt zwaarder mee voor het behalen van het eigen PSO-prestatieniveau dan inkopen bij organisaties met een lager prestatieniveau.</w:t>
      </w:r>
    </w:p>
    <w:p w14:paraId="6F9D5D54" w14:textId="77777777" w:rsidR="00D264CE" w:rsidRDefault="00D264CE" w:rsidP="00D264CE"/>
    <w:p w14:paraId="19BC3610" w14:textId="77777777" w:rsidR="00D264CE" w:rsidRPr="00D264CE" w:rsidRDefault="00D264CE" w:rsidP="00D264CE">
      <w:pPr>
        <w:rPr>
          <w:b/>
          <w:bCs/>
        </w:rPr>
      </w:pPr>
      <w:r w:rsidRPr="00D264CE">
        <w:rPr>
          <w:b/>
          <w:bCs/>
        </w:rPr>
        <w:t>PSO 30+ keurmerk</w:t>
      </w:r>
    </w:p>
    <w:p w14:paraId="6472B257" w14:textId="77777777" w:rsidR="00D264CE" w:rsidRPr="00D264CE" w:rsidRDefault="00D264CE" w:rsidP="00D264CE">
      <w:r w:rsidRPr="00D264CE">
        <w:t>Het </w:t>
      </w:r>
      <w:hyperlink r:id="rId8" w:history="1">
        <w:r w:rsidRPr="00D264CE">
          <w:rPr>
            <w:rStyle w:val="Hyperlink"/>
          </w:rPr>
          <w:t>PSO 30+certificaat</w:t>
        </w:r>
      </w:hyperlink>
      <w:r w:rsidRPr="00D264CE">
        <w:t xml:space="preserve"> is ontwikkeld als extra uitlezing binnen het hoogste PSO-prestatieniveau (trede 3). Dit certificaat erkent organisaties die minimaal voldoen aan de gestelde kwantitatieve eisen van artikel 2.82 van de Aanbestedingswet. Dat artikel geeft (semi)publieke opdrachtgevers de mogelijkheid </w:t>
      </w:r>
      <w:r w:rsidRPr="00D264CE">
        <w:lastRenderedPageBreak/>
        <w:t>opdrachten voor te behouden aan ondernemingen die zich specifiek richten op arbeidsparticipatie van kwetsbare groepen.</w:t>
      </w:r>
    </w:p>
    <w:p w14:paraId="6F771FDB" w14:textId="77777777" w:rsidR="00D264CE" w:rsidRPr="00D264CE" w:rsidRDefault="00D264CE" w:rsidP="00D264CE"/>
    <w:p w14:paraId="5B4349C0" w14:textId="77777777" w:rsidR="00D264CE" w:rsidRPr="00D264CE" w:rsidRDefault="00D264CE" w:rsidP="00D264CE">
      <w:pPr>
        <w:rPr>
          <w:b/>
          <w:bCs/>
        </w:rPr>
      </w:pPr>
      <w:r w:rsidRPr="00D264CE">
        <w:rPr>
          <w:b/>
          <w:bCs/>
        </w:rPr>
        <w:t xml:space="preserve">De </w:t>
      </w:r>
      <w:proofErr w:type="spellStart"/>
      <w:r w:rsidRPr="00D264CE">
        <w:rPr>
          <w:b/>
          <w:bCs/>
        </w:rPr>
        <w:t>MijnPSO</w:t>
      </w:r>
      <w:proofErr w:type="spellEnd"/>
      <w:r w:rsidRPr="00D264CE">
        <w:rPr>
          <w:b/>
          <w:bCs/>
        </w:rPr>
        <w:t xml:space="preserve"> omgeving</w:t>
      </w:r>
    </w:p>
    <w:p w14:paraId="3F7122DE" w14:textId="77777777" w:rsidR="00D264CE" w:rsidRDefault="00D264CE" w:rsidP="00D264CE">
      <w:r w:rsidRPr="00D264CE">
        <w:t>U kunt uw organisatie vrijblijvend langs de </w:t>
      </w:r>
      <w:hyperlink r:id="rId9" w:history="1">
        <w:r w:rsidRPr="00D264CE">
          <w:rPr>
            <w:rStyle w:val="Hyperlink"/>
          </w:rPr>
          <w:t xml:space="preserve">online meetlat van </w:t>
        </w:r>
        <w:proofErr w:type="spellStart"/>
        <w:r w:rsidRPr="00D264CE">
          <w:rPr>
            <w:rStyle w:val="Hyperlink"/>
          </w:rPr>
          <w:t>MijnPSO</w:t>
        </w:r>
        <w:proofErr w:type="spellEnd"/>
      </w:hyperlink>
      <w:r w:rsidRPr="00D264CE">
        <w:t> leggen om te verkennen op welk PSO-prestatieniveau uw organisatie uitkomt. Voor een daadwerkelijke PSO-certificering vormen de gegevens die u invult het formele kader voor de audit (toetsing)</w:t>
      </w:r>
    </w:p>
    <w:p w14:paraId="41E3C9F7" w14:textId="77777777" w:rsidR="00D264CE" w:rsidRPr="00D264CE" w:rsidRDefault="00D264CE" w:rsidP="00D264CE"/>
    <w:p w14:paraId="72536980" w14:textId="77777777" w:rsidR="00D264CE" w:rsidRPr="00D264CE" w:rsidRDefault="00D264CE" w:rsidP="00D264CE">
      <w:pPr>
        <w:rPr>
          <w:b/>
          <w:bCs/>
        </w:rPr>
      </w:pPr>
      <w:r w:rsidRPr="00D264CE">
        <w:rPr>
          <w:b/>
          <w:bCs/>
        </w:rPr>
        <w:t>Schemabeheer en onafhankelijke toetsing</w:t>
      </w:r>
    </w:p>
    <w:p w14:paraId="05033EF3" w14:textId="77777777" w:rsidR="00D264CE" w:rsidRDefault="00D264CE" w:rsidP="00D264CE">
      <w:r w:rsidRPr="00D264CE">
        <w:t>Vanwege de vele toepassingsmogelijkheden is het PSO-keurmerk wetenschappelijk onderbouwd en heeft het een strikt schemabeheer met objectieve criteria en eisen. Samen met de toetsing door een </w:t>
      </w:r>
      <w:hyperlink r:id="rId10" w:history="1">
        <w:r w:rsidRPr="00D264CE">
          <w:rPr>
            <w:rStyle w:val="Hyperlink"/>
          </w:rPr>
          <w:t>onafhankelijke certificerende instelling</w:t>
        </w:r>
      </w:hyperlink>
      <w:r w:rsidRPr="00D264CE">
        <w:t> is de PSO een zogenoemd </w:t>
      </w:r>
      <w:proofErr w:type="spellStart"/>
      <w:r w:rsidRPr="00D264CE">
        <w:rPr>
          <w:i/>
          <w:iCs/>
        </w:rPr>
        <w:t>rule-based</w:t>
      </w:r>
      <w:proofErr w:type="spellEnd"/>
      <w:r w:rsidRPr="00D264CE">
        <w:t xml:space="preserve"> instrument. U kunt het PSO-keurmerk alleen aanvragen via </w:t>
      </w:r>
      <w:proofErr w:type="spellStart"/>
      <w:r w:rsidRPr="00D264CE">
        <w:t>MijnPSO</w:t>
      </w:r>
      <w:proofErr w:type="spellEnd"/>
      <w:r w:rsidRPr="00D264CE">
        <w:t xml:space="preserve">. De PSO-norm is omschreven in de PSO-handleiding van TNO, waarvan de laatste versie altijd is verwerkt in </w:t>
      </w:r>
      <w:proofErr w:type="spellStart"/>
      <w:r w:rsidRPr="00D264CE">
        <w:t>MijnPSO</w:t>
      </w:r>
      <w:proofErr w:type="spellEnd"/>
      <w:r w:rsidRPr="00D264CE">
        <w:t>. De PSO-norm is onder andere gebaseerd op wet- en regelgeving en op de landelijke Werkgevers Enquête Arbeid (WEA) van TNO.</w:t>
      </w:r>
    </w:p>
    <w:p w14:paraId="406B96CC" w14:textId="77777777" w:rsidR="00D264CE" w:rsidRPr="00D264CE" w:rsidRDefault="00D264CE" w:rsidP="00D264CE"/>
    <w:p w14:paraId="40F889BB" w14:textId="77777777" w:rsidR="00D264CE" w:rsidRPr="00D264CE" w:rsidRDefault="00D264CE" w:rsidP="00D264CE">
      <w:pPr>
        <w:rPr>
          <w:b/>
          <w:bCs/>
        </w:rPr>
      </w:pPr>
      <w:r w:rsidRPr="00D264CE">
        <w:rPr>
          <w:b/>
          <w:bCs/>
        </w:rPr>
        <w:t>Doel en werking van de PSO</w:t>
      </w:r>
    </w:p>
    <w:p w14:paraId="19C8A7D9" w14:textId="77777777" w:rsidR="00D264CE" w:rsidRDefault="00D264CE" w:rsidP="00D264CE">
      <w:r w:rsidRPr="00D264CE">
        <w:t>Het doel van de Prestatieladder Socialer Ondernemen is de arbeidsparticipatie verhogen van personen met een afstand tot de arbeidsmarkt, en dat voor alle soorten werkgevers: van mkb tot multinational, en van bakker tot accountantskantoor. Daarbij stimuleert de PSO-methode om dit op een kwalitatief goede en duurzame wijze te realiseren. De ingebouwde ketenstimulering bevordert de onderlinge vraag naar PSO-gecertificeerde organisaties en draagt zo bij aan het doel. Er zijn gemiddeld ruim </w:t>
      </w:r>
      <w:hyperlink r:id="rId11" w:history="1">
        <w:r w:rsidRPr="00D264CE">
          <w:rPr>
            <w:rStyle w:val="Hyperlink"/>
          </w:rPr>
          <w:t>1400 PSO-gecertificeerde organisaties </w:t>
        </w:r>
      </w:hyperlink>
      <w:r w:rsidRPr="00D264CE">
        <w:t>die dit doen. Ze hebben </w:t>
      </w:r>
      <w:hyperlink r:id="rId12" w:history="1">
        <w:r w:rsidRPr="00D264CE">
          <w:rPr>
            <w:rStyle w:val="Hyperlink"/>
          </w:rPr>
          <w:t>diverse motieven </w:t>
        </w:r>
      </w:hyperlink>
      <w:r w:rsidRPr="00D264CE">
        <w:t>waarom ze dit belangrijk vinden. Ook steeds meer gemeenten en andere (semi)publieke organisaties werken met de PSO of PSO 30+; lees </w:t>
      </w:r>
      <w:hyperlink r:id="rId13" w:history="1">
        <w:r w:rsidRPr="00D264CE">
          <w:rPr>
            <w:rStyle w:val="Hyperlink"/>
          </w:rPr>
          <w:t>hier </w:t>
        </w:r>
      </w:hyperlink>
      <w:r w:rsidRPr="00D264CE">
        <w:t>waarom zij dit belangrijk vinden.</w:t>
      </w:r>
    </w:p>
    <w:p w14:paraId="34E54B35" w14:textId="77777777" w:rsidR="00D264CE" w:rsidRPr="00D264CE" w:rsidRDefault="00D264CE" w:rsidP="00D264CE"/>
    <w:sectPr w:rsidR="00D264CE" w:rsidRPr="00D264CE" w:rsidSect="004B6009">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E0F889" w14:textId="77777777" w:rsidR="004B6009" w:rsidRDefault="004B6009" w:rsidP="004B6009">
      <w:pPr>
        <w:spacing w:line="240" w:lineRule="auto"/>
      </w:pPr>
      <w:r>
        <w:separator/>
      </w:r>
    </w:p>
  </w:endnote>
  <w:endnote w:type="continuationSeparator" w:id="0">
    <w:p w14:paraId="14CF0146" w14:textId="77777777" w:rsidR="004B6009" w:rsidRDefault="004B6009" w:rsidP="004B60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3D8E58" w14:textId="77777777" w:rsidR="004B6009" w:rsidRDefault="004B6009" w:rsidP="004B6009">
      <w:pPr>
        <w:spacing w:line="240" w:lineRule="auto"/>
      </w:pPr>
      <w:r>
        <w:separator/>
      </w:r>
    </w:p>
  </w:footnote>
  <w:footnote w:type="continuationSeparator" w:id="0">
    <w:p w14:paraId="591F1027" w14:textId="77777777" w:rsidR="004B6009" w:rsidRDefault="004B6009" w:rsidP="004B600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A3F21082"/>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3428387E"/>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B5F28D72"/>
    <w:lvl w:ilvl="0">
      <w:start w:val="1"/>
      <w:numFmt w:val="bullet"/>
      <w:pStyle w:val="Lijstopsomteken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9F98094E"/>
    <w:lvl w:ilvl="0">
      <w:start w:val="1"/>
      <w:numFmt w:val="bullet"/>
      <w:pStyle w:val="Lijstopsomteken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EEFA770A"/>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E3811B8"/>
    <w:lvl w:ilvl="0">
      <w:start w:val="1"/>
      <w:numFmt w:val="bullet"/>
      <w:pStyle w:val="Lijstopsomteken"/>
      <w:lvlText w:val=""/>
      <w:lvlJc w:val="left"/>
      <w:pPr>
        <w:tabs>
          <w:tab w:val="num" w:pos="360"/>
        </w:tabs>
        <w:ind w:left="360" w:hanging="360"/>
      </w:pPr>
      <w:rPr>
        <w:rFonts w:ascii="Symbol" w:hAnsi="Symbol" w:hint="default"/>
      </w:rPr>
    </w:lvl>
  </w:abstractNum>
  <w:abstractNum w:abstractNumId="6" w15:restartNumberingAfterBreak="0">
    <w:nsid w:val="126E4910"/>
    <w:multiLevelType w:val="hybridMultilevel"/>
    <w:tmpl w:val="3E84AC8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9BC1D90"/>
    <w:multiLevelType w:val="multilevel"/>
    <w:tmpl w:val="94D40DC2"/>
    <w:lvl w:ilvl="0">
      <w:start w:val="1"/>
      <w:numFmt w:val="decimal"/>
      <w:pStyle w:val="Lijstnummering"/>
      <w:lvlText w:val="%1"/>
      <w:lvlJc w:val="left"/>
      <w:pPr>
        <w:tabs>
          <w:tab w:val="num" w:pos="357"/>
        </w:tabs>
        <w:ind w:left="360" w:hanging="360"/>
      </w:pPr>
      <w:rPr>
        <w:rFonts w:hint="default"/>
      </w:rPr>
    </w:lvl>
    <w:lvl w:ilvl="1">
      <w:start w:val="1"/>
      <w:numFmt w:val="decimal"/>
      <w:pStyle w:val="Lijstnummering2"/>
      <w:lvlText w:val="%1.%2"/>
      <w:lvlJc w:val="left"/>
      <w:pPr>
        <w:tabs>
          <w:tab w:val="num" w:pos="720"/>
        </w:tabs>
        <w:ind w:left="720" w:hanging="360"/>
      </w:pPr>
      <w:rPr>
        <w:rFonts w:hint="default"/>
      </w:rPr>
    </w:lvl>
    <w:lvl w:ilvl="2">
      <w:start w:val="1"/>
      <w:numFmt w:val="decimal"/>
      <w:pStyle w:val="Lijstnummering3"/>
      <w:lvlText w:val="%1.%2.%3"/>
      <w:lvlJc w:val="left"/>
      <w:pPr>
        <w:tabs>
          <w:tab w:val="num" w:pos="1304"/>
        </w:tabs>
        <w:ind w:left="1304" w:hanging="58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8" w15:restartNumberingAfterBreak="0">
    <w:nsid w:val="3C775017"/>
    <w:multiLevelType w:val="multilevel"/>
    <w:tmpl w:val="1C5EB592"/>
    <w:lvl w:ilvl="0">
      <w:start w:val="1"/>
      <w:numFmt w:val="decimal"/>
      <w:pStyle w:val="Kop1"/>
      <w:lvlText w:val="%1"/>
      <w:lvlJc w:val="left"/>
      <w:pPr>
        <w:tabs>
          <w:tab w:val="num" w:pos="0"/>
        </w:tabs>
        <w:ind w:left="0" w:hanging="1320"/>
      </w:pPr>
      <w:rPr>
        <w:rFonts w:ascii="Arial" w:hAnsi="Arial" w:hint="default"/>
        <w:b/>
        <w:i w:val="0"/>
        <w:sz w:val="28"/>
      </w:rPr>
    </w:lvl>
    <w:lvl w:ilvl="1">
      <w:start w:val="1"/>
      <w:numFmt w:val="decimal"/>
      <w:pStyle w:val="Kop2"/>
      <w:lvlText w:val="%1.%2"/>
      <w:lvlJc w:val="left"/>
      <w:pPr>
        <w:tabs>
          <w:tab w:val="num" w:pos="0"/>
        </w:tabs>
        <w:ind w:left="0" w:hanging="1320"/>
      </w:pPr>
      <w:rPr>
        <w:rFonts w:ascii="Arial" w:hAnsi="Arial" w:hint="default"/>
        <w:b/>
        <w:i w:val="0"/>
        <w:sz w:val="24"/>
      </w:rPr>
    </w:lvl>
    <w:lvl w:ilvl="2">
      <w:start w:val="1"/>
      <w:numFmt w:val="decimal"/>
      <w:pStyle w:val="Kop3"/>
      <w:lvlText w:val="%1.%2.%3"/>
      <w:lvlJc w:val="left"/>
      <w:pPr>
        <w:tabs>
          <w:tab w:val="num" w:pos="0"/>
        </w:tabs>
        <w:ind w:left="0" w:hanging="1320"/>
      </w:pPr>
      <w:rPr>
        <w:rFonts w:ascii="Arial" w:hAnsi="Arial" w:hint="default"/>
        <w:b/>
        <w:i w:val="0"/>
        <w:sz w:val="20"/>
      </w:rPr>
    </w:lvl>
    <w:lvl w:ilvl="3">
      <w:start w:val="1"/>
      <w:numFmt w:val="decimal"/>
      <w:lvlText w:val="%1.%2.%3.%4."/>
      <w:lvlJc w:val="left"/>
      <w:pPr>
        <w:tabs>
          <w:tab w:val="num" w:pos="2400"/>
        </w:tabs>
        <w:ind w:left="1968" w:hanging="648"/>
      </w:pPr>
      <w:rPr>
        <w:rFonts w:hint="default"/>
      </w:rPr>
    </w:lvl>
    <w:lvl w:ilvl="4">
      <w:start w:val="1"/>
      <w:numFmt w:val="decimal"/>
      <w:lvlText w:val="%1.%2.%3.%4.%5."/>
      <w:lvlJc w:val="left"/>
      <w:pPr>
        <w:tabs>
          <w:tab w:val="num" w:pos="2760"/>
        </w:tabs>
        <w:ind w:left="2472" w:hanging="792"/>
      </w:pPr>
      <w:rPr>
        <w:rFonts w:hint="default"/>
      </w:rPr>
    </w:lvl>
    <w:lvl w:ilvl="5">
      <w:start w:val="1"/>
      <w:numFmt w:val="decimal"/>
      <w:lvlText w:val="%1.%2.%3.%4.%5.%6."/>
      <w:lvlJc w:val="left"/>
      <w:pPr>
        <w:tabs>
          <w:tab w:val="num" w:pos="3480"/>
        </w:tabs>
        <w:ind w:left="2976" w:hanging="936"/>
      </w:pPr>
      <w:rPr>
        <w:rFonts w:hint="default"/>
      </w:rPr>
    </w:lvl>
    <w:lvl w:ilvl="6">
      <w:start w:val="1"/>
      <w:numFmt w:val="decimal"/>
      <w:lvlText w:val="%1.%2.%3.%4.%5.%6.%7."/>
      <w:lvlJc w:val="left"/>
      <w:pPr>
        <w:tabs>
          <w:tab w:val="num" w:pos="3840"/>
        </w:tabs>
        <w:ind w:left="3480" w:hanging="1080"/>
      </w:pPr>
      <w:rPr>
        <w:rFonts w:hint="default"/>
      </w:rPr>
    </w:lvl>
    <w:lvl w:ilvl="7">
      <w:start w:val="1"/>
      <w:numFmt w:val="decimal"/>
      <w:lvlText w:val="%1.%2.%3.%4.%5.%6.%7.%8."/>
      <w:lvlJc w:val="left"/>
      <w:pPr>
        <w:tabs>
          <w:tab w:val="num" w:pos="4560"/>
        </w:tabs>
        <w:ind w:left="3984" w:hanging="1224"/>
      </w:pPr>
      <w:rPr>
        <w:rFonts w:hint="default"/>
      </w:rPr>
    </w:lvl>
    <w:lvl w:ilvl="8">
      <w:start w:val="1"/>
      <w:numFmt w:val="decimal"/>
      <w:lvlText w:val="%1.%2.%3.%4.%5.%6.%7.%8.%9."/>
      <w:lvlJc w:val="left"/>
      <w:pPr>
        <w:tabs>
          <w:tab w:val="num" w:pos="4920"/>
        </w:tabs>
        <w:ind w:left="4560" w:hanging="1440"/>
      </w:pPr>
      <w:rPr>
        <w:rFonts w:hint="default"/>
      </w:rPr>
    </w:lvl>
  </w:abstractNum>
  <w:num w:numId="1" w16cid:durableId="2059820984">
    <w:abstractNumId w:val="8"/>
  </w:num>
  <w:num w:numId="2" w16cid:durableId="983587562">
    <w:abstractNumId w:val="8"/>
  </w:num>
  <w:num w:numId="3" w16cid:durableId="732435473">
    <w:abstractNumId w:val="8"/>
  </w:num>
  <w:num w:numId="4" w16cid:durableId="107237097">
    <w:abstractNumId w:val="8"/>
  </w:num>
  <w:num w:numId="5" w16cid:durableId="1853687625">
    <w:abstractNumId w:val="8"/>
  </w:num>
  <w:num w:numId="6" w16cid:durableId="817697057">
    <w:abstractNumId w:val="8"/>
  </w:num>
  <w:num w:numId="7" w16cid:durableId="949823841">
    <w:abstractNumId w:val="5"/>
  </w:num>
  <w:num w:numId="8" w16cid:durableId="80101088">
    <w:abstractNumId w:val="5"/>
  </w:num>
  <w:num w:numId="9" w16cid:durableId="1107509004">
    <w:abstractNumId w:val="3"/>
  </w:num>
  <w:num w:numId="10" w16cid:durableId="1410805352">
    <w:abstractNumId w:val="3"/>
  </w:num>
  <w:num w:numId="11" w16cid:durableId="1840539768">
    <w:abstractNumId w:val="2"/>
  </w:num>
  <w:num w:numId="12" w16cid:durableId="1122336382">
    <w:abstractNumId w:val="2"/>
  </w:num>
  <w:num w:numId="13" w16cid:durableId="635642664">
    <w:abstractNumId w:val="4"/>
  </w:num>
  <w:num w:numId="14" w16cid:durableId="505095867">
    <w:abstractNumId w:val="7"/>
  </w:num>
  <w:num w:numId="15" w16cid:durableId="1992756314">
    <w:abstractNumId w:val="1"/>
  </w:num>
  <w:num w:numId="16" w16cid:durableId="1141506514">
    <w:abstractNumId w:val="7"/>
  </w:num>
  <w:num w:numId="17" w16cid:durableId="1648509424">
    <w:abstractNumId w:val="0"/>
  </w:num>
  <w:num w:numId="18" w16cid:durableId="859464880">
    <w:abstractNumId w:val="7"/>
  </w:num>
  <w:num w:numId="19" w16cid:durableId="835539669">
    <w:abstractNumId w:val="8"/>
  </w:num>
  <w:num w:numId="20" w16cid:durableId="1942686750">
    <w:abstractNumId w:val="8"/>
  </w:num>
  <w:num w:numId="21" w16cid:durableId="1567259403">
    <w:abstractNumId w:val="8"/>
  </w:num>
  <w:num w:numId="22" w16cid:durableId="1355333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009"/>
    <w:rsid w:val="000F554F"/>
    <w:rsid w:val="00133849"/>
    <w:rsid w:val="00231B57"/>
    <w:rsid w:val="0029438D"/>
    <w:rsid w:val="003E712D"/>
    <w:rsid w:val="004B6009"/>
    <w:rsid w:val="008641C9"/>
    <w:rsid w:val="00890F1A"/>
    <w:rsid w:val="00925A36"/>
    <w:rsid w:val="00980EB1"/>
    <w:rsid w:val="00BC0430"/>
    <w:rsid w:val="00C83C28"/>
    <w:rsid w:val="00CB1A7D"/>
    <w:rsid w:val="00D264CE"/>
    <w:rsid w:val="00EA6A15"/>
    <w:rsid w:val="00F67F3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18893"/>
  <w15:chartTrackingRefBased/>
  <w15:docId w15:val="{8AAC49AB-8359-46EA-9616-AC297A5A2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heme="minorHAnsi" w:cstheme="minorBidi"/>
        <w:kern w:val="2"/>
        <w:sz w:val="22"/>
        <w:szCs w:val="22"/>
        <w:lang w:val="nl-NL"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80EB1"/>
    <w:pPr>
      <w:adjustRightInd w:val="0"/>
      <w:spacing w:after="0" w:line="280" w:lineRule="atLeast"/>
    </w:pPr>
    <w:rPr>
      <w:rFonts w:ascii="Arial" w:hAnsi="Arial" w:cs="Times New Roman"/>
      <w:sz w:val="20"/>
      <w:szCs w:val="20"/>
      <w:lang w:eastAsia="nl-NL"/>
    </w:rPr>
  </w:style>
  <w:style w:type="paragraph" w:styleId="Kop1">
    <w:name w:val="heading 1"/>
    <w:basedOn w:val="Standaard"/>
    <w:next w:val="Standaard"/>
    <w:link w:val="Kop1Char"/>
    <w:qFormat/>
    <w:rsid w:val="0029438D"/>
    <w:pPr>
      <w:keepNext/>
      <w:numPr>
        <w:numId w:val="21"/>
      </w:numPr>
      <w:spacing w:before="280"/>
      <w:outlineLvl w:val="0"/>
    </w:pPr>
    <w:rPr>
      <w:b/>
      <w:sz w:val="28"/>
    </w:rPr>
  </w:style>
  <w:style w:type="paragraph" w:styleId="Kop2">
    <w:name w:val="heading 2"/>
    <w:basedOn w:val="Kop1"/>
    <w:next w:val="Standaard"/>
    <w:link w:val="Kop2Char"/>
    <w:qFormat/>
    <w:rsid w:val="0029438D"/>
    <w:pPr>
      <w:numPr>
        <w:ilvl w:val="1"/>
      </w:numPr>
      <w:adjustRightInd/>
      <w:outlineLvl w:val="1"/>
    </w:pPr>
    <w:rPr>
      <w:sz w:val="24"/>
    </w:rPr>
  </w:style>
  <w:style w:type="paragraph" w:styleId="Kop3">
    <w:name w:val="heading 3"/>
    <w:basedOn w:val="Kop2"/>
    <w:next w:val="Standaard"/>
    <w:link w:val="Kop3Char"/>
    <w:qFormat/>
    <w:rsid w:val="0029438D"/>
    <w:pPr>
      <w:numPr>
        <w:ilvl w:val="2"/>
      </w:numPr>
      <w:outlineLvl w:val="2"/>
    </w:pPr>
    <w:rPr>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29438D"/>
    <w:rPr>
      <w:rFonts w:ascii="Arial" w:hAnsi="Arial" w:cs="Times New Roman"/>
      <w:b/>
      <w:sz w:val="28"/>
      <w:szCs w:val="20"/>
      <w:lang w:eastAsia="nl-NL"/>
    </w:rPr>
  </w:style>
  <w:style w:type="character" w:customStyle="1" w:styleId="Kop2Char">
    <w:name w:val="Kop 2 Char"/>
    <w:basedOn w:val="Standaardalinea-lettertype"/>
    <w:link w:val="Kop2"/>
    <w:rsid w:val="0029438D"/>
    <w:rPr>
      <w:rFonts w:ascii="Arial" w:hAnsi="Arial" w:cs="Times New Roman"/>
      <w:b/>
      <w:sz w:val="24"/>
      <w:szCs w:val="20"/>
      <w:lang w:eastAsia="nl-NL"/>
    </w:rPr>
  </w:style>
  <w:style w:type="character" w:customStyle="1" w:styleId="Kop3Char">
    <w:name w:val="Kop 3 Char"/>
    <w:basedOn w:val="Standaardalinea-lettertype"/>
    <w:link w:val="Kop3"/>
    <w:rsid w:val="00133849"/>
    <w:rPr>
      <w:rFonts w:ascii="Arial" w:hAnsi="Arial" w:cs="Times New Roman"/>
      <w:b/>
      <w:sz w:val="20"/>
      <w:szCs w:val="20"/>
      <w:lang w:eastAsia="nl-NL"/>
    </w:rPr>
  </w:style>
  <w:style w:type="paragraph" w:customStyle="1" w:styleId="Kop1zondernummer">
    <w:name w:val="Kop 1 zonder nummer"/>
    <w:basedOn w:val="Kop1"/>
    <w:next w:val="Standaard"/>
    <w:rsid w:val="0029438D"/>
    <w:pPr>
      <w:numPr>
        <w:numId w:val="0"/>
      </w:numPr>
    </w:pPr>
  </w:style>
  <w:style w:type="paragraph" w:customStyle="1" w:styleId="Kop2zondernummer">
    <w:name w:val="Kop 2 zonder nummer"/>
    <w:basedOn w:val="Kop2"/>
    <w:next w:val="Standaard"/>
    <w:rsid w:val="0029438D"/>
    <w:pPr>
      <w:numPr>
        <w:ilvl w:val="0"/>
        <w:numId w:val="0"/>
      </w:numPr>
    </w:pPr>
  </w:style>
  <w:style w:type="paragraph" w:customStyle="1" w:styleId="Kop3zondernummer">
    <w:name w:val="Kop 3 zonder nummer"/>
    <w:basedOn w:val="Kop3"/>
    <w:next w:val="Standaard"/>
    <w:rsid w:val="0029438D"/>
    <w:pPr>
      <w:numPr>
        <w:ilvl w:val="0"/>
        <w:numId w:val="0"/>
      </w:numPr>
    </w:pPr>
  </w:style>
  <w:style w:type="paragraph" w:styleId="Bijschrift">
    <w:name w:val="caption"/>
    <w:basedOn w:val="Standaard"/>
    <w:next w:val="Standaard"/>
    <w:qFormat/>
    <w:rsid w:val="00980EB1"/>
    <w:rPr>
      <w:b/>
      <w:bCs/>
      <w:lang w:eastAsia="en-US"/>
    </w:rPr>
  </w:style>
  <w:style w:type="character" w:customStyle="1" w:styleId="hps">
    <w:name w:val="hps"/>
    <w:basedOn w:val="Standaardalinea-lettertype"/>
    <w:rsid w:val="00980EB1"/>
    <w:rPr>
      <w:rFonts w:cs="Times New Roman"/>
    </w:rPr>
  </w:style>
  <w:style w:type="paragraph" w:customStyle="1" w:styleId="Huisstijl-Afzender">
    <w:name w:val="Huisstijl-Afzender"/>
    <w:basedOn w:val="Standaard"/>
    <w:rsid w:val="00980EB1"/>
    <w:pPr>
      <w:spacing w:line="210" w:lineRule="exact"/>
      <w:jc w:val="right"/>
    </w:pPr>
    <w:rPr>
      <w:noProof/>
      <w:sz w:val="15"/>
    </w:rPr>
  </w:style>
  <w:style w:type="paragraph" w:customStyle="1" w:styleId="Huisstijl-Dialoog">
    <w:name w:val="Huisstijl-Dialoog"/>
    <w:basedOn w:val="Standaard"/>
    <w:rsid w:val="00980EB1"/>
    <w:rPr>
      <w:noProof/>
      <w:sz w:val="24"/>
    </w:rPr>
  </w:style>
  <w:style w:type="paragraph" w:customStyle="1" w:styleId="Huisstijl-DienstKopje">
    <w:name w:val="Huisstijl-DienstKopje"/>
    <w:basedOn w:val="Standaard"/>
    <w:rsid w:val="00980EB1"/>
    <w:pPr>
      <w:spacing w:line="210" w:lineRule="exact"/>
      <w:jc w:val="right"/>
    </w:pPr>
    <w:rPr>
      <w:b/>
      <w:noProof/>
      <w:sz w:val="15"/>
    </w:rPr>
  </w:style>
  <w:style w:type="paragraph" w:customStyle="1" w:styleId="Huisstijl-Titel">
    <w:name w:val="Huisstijl-Titel"/>
    <w:basedOn w:val="Standaard"/>
    <w:rsid w:val="00980EB1"/>
    <w:rPr>
      <w:b/>
      <w:noProof/>
      <w:sz w:val="28"/>
    </w:rPr>
  </w:style>
  <w:style w:type="paragraph" w:customStyle="1" w:styleId="Huisstijl-ExtraTekst">
    <w:name w:val="Huisstijl-ExtraTekst"/>
    <w:basedOn w:val="Huisstijl-Titel"/>
    <w:rsid w:val="00980EB1"/>
    <w:rPr>
      <w:sz w:val="20"/>
    </w:rPr>
  </w:style>
  <w:style w:type="paragraph" w:customStyle="1" w:styleId="Huisstijl-Nummering">
    <w:name w:val="Huisstijl-Nummering"/>
    <w:basedOn w:val="Standaard"/>
    <w:rsid w:val="00980EB1"/>
    <w:pPr>
      <w:jc w:val="right"/>
    </w:pPr>
    <w:rPr>
      <w:noProof/>
      <w:sz w:val="15"/>
    </w:rPr>
  </w:style>
  <w:style w:type="character" w:customStyle="1" w:styleId="Huisstijl-ReferentieGegevens">
    <w:name w:val="Huisstijl-ReferentieGegevens"/>
    <w:basedOn w:val="Standaardalinea-lettertype"/>
    <w:rsid w:val="00980EB1"/>
    <w:rPr>
      <w:rFonts w:ascii="Arial" w:hAnsi="Arial"/>
      <w:noProof/>
      <w:sz w:val="20"/>
    </w:rPr>
  </w:style>
  <w:style w:type="character" w:customStyle="1" w:styleId="Huisstijl-ReferentieKopje">
    <w:name w:val="Huisstijl-ReferentieKopje"/>
    <w:basedOn w:val="Standaardalinea-lettertype"/>
    <w:rsid w:val="00980EB1"/>
    <w:rPr>
      <w:rFonts w:ascii="Arial" w:hAnsi="Arial"/>
      <w:dstrike w:val="0"/>
      <w:noProof/>
      <w:sz w:val="15"/>
      <w:vertAlign w:val="baseline"/>
    </w:rPr>
  </w:style>
  <w:style w:type="paragraph" w:customStyle="1" w:styleId="Huisstijl-SubTitel">
    <w:name w:val="Huisstijl-SubTitel"/>
    <w:basedOn w:val="Huisstijl-Titel"/>
    <w:rsid w:val="00980EB1"/>
    <w:rPr>
      <w:sz w:val="24"/>
    </w:rPr>
  </w:style>
  <w:style w:type="character" w:styleId="Hyperlink">
    <w:name w:val="Hyperlink"/>
    <w:basedOn w:val="Standaardalinea-lettertype"/>
    <w:uiPriority w:val="99"/>
    <w:rsid w:val="00980EB1"/>
    <w:rPr>
      <w:rFonts w:cs="Times New Roman"/>
      <w:color w:val="0000FF"/>
      <w:u w:val="single"/>
    </w:rPr>
  </w:style>
  <w:style w:type="paragraph" w:styleId="Inhopg1">
    <w:name w:val="toc 1"/>
    <w:basedOn w:val="Standaard"/>
    <w:next w:val="Standaard"/>
    <w:semiHidden/>
    <w:rsid w:val="00980EB1"/>
    <w:pPr>
      <w:keepNext/>
      <w:tabs>
        <w:tab w:val="right" w:pos="7800"/>
      </w:tabs>
      <w:adjustRightInd/>
      <w:spacing w:before="280"/>
      <w:ind w:right="600" w:hanging="1320"/>
    </w:pPr>
    <w:rPr>
      <w:b/>
      <w:noProof/>
    </w:rPr>
  </w:style>
  <w:style w:type="paragraph" w:styleId="Inhopg2">
    <w:name w:val="toc 2"/>
    <w:basedOn w:val="Inhopg1"/>
    <w:next w:val="Standaard"/>
    <w:semiHidden/>
    <w:rsid w:val="00980EB1"/>
    <w:pPr>
      <w:keepNext w:val="0"/>
      <w:adjustRightInd w:val="0"/>
      <w:spacing w:before="0"/>
    </w:pPr>
    <w:rPr>
      <w:b w:val="0"/>
    </w:rPr>
  </w:style>
  <w:style w:type="paragraph" w:styleId="Inhopg3">
    <w:name w:val="toc 3"/>
    <w:basedOn w:val="Inhopg2"/>
    <w:next w:val="Standaard"/>
    <w:semiHidden/>
    <w:rsid w:val="00980EB1"/>
  </w:style>
  <w:style w:type="paragraph" w:styleId="Inhopg7">
    <w:name w:val="toc 7"/>
    <w:basedOn w:val="Standaard"/>
    <w:next w:val="Standaard"/>
    <w:semiHidden/>
    <w:rsid w:val="00980EB1"/>
    <w:pPr>
      <w:keepNext/>
      <w:tabs>
        <w:tab w:val="right" w:pos="7800"/>
      </w:tabs>
      <w:spacing w:before="280"/>
      <w:ind w:right="600"/>
    </w:pPr>
    <w:rPr>
      <w:b/>
      <w:noProof/>
    </w:rPr>
  </w:style>
  <w:style w:type="paragraph" w:styleId="Inhopg8">
    <w:name w:val="toc 8"/>
    <w:basedOn w:val="Inhopg7"/>
    <w:next w:val="Standaard"/>
    <w:semiHidden/>
    <w:rsid w:val="00980EB1"/>
    <w:pPr>
      <w:keepNext w:val="0"/>
      <w:spacing w:before="0"/>
    </w:pPr>
    <w:rPr>
      <w:b w:val="0"/>
    </w:rPr>
  </w:style>
  <w:style w:type="paragraph" w:styleId="Inhopg9">
    <w:name w:val="toc 9"/>
    <w:basedOn w:val="Inhopg8"/>
    <w:next w:val="Standaard"/>
    <w:semiHidden/>
    <w:rsid w:val="00980EB1"/>
  </w:style>
  <w:style w:type="paragraph" w:styleId="Koptekst">
    <w:name w:val="header"/>
    <w:basedOn w:val="Standaard"/>
    <w:link w:val="KoptekstChar"/>
    <w:rsid w:val="00980EB1"/>
    <w:pPr>
      <w:tabs>
        <w:tab w:val="center" w:pos="4320"/>
        <w:tab w:val="right" w:pos="8640"/>
      </w:tabs>
    </w:pPr>
  </w:style>
  <w:style w:type="character" w:customStyle="1" w:styleId="KoptekstChar">
    <w:name w:val="Koptekst Char"/>
    <w:basedOn w:val="Standaardalinea-lettertype"/>
    <w:link w:val="Koptekst"/>
    <w:rsid w:val="00980EB1"/>
    <w:rPr>
      <w:rFonts w:ascii="Arial" w:hAnsi="Arial" w:cs="Times New Roman"/>
      <w:sz w:val="20"/>
      <w:szCs w:val="20"/>
      <w:lang w:eastAsia="nl-NL"/>
    </w:rPr>
  </w:style>
  <w:style w:type="paragraph" w:styleId="Lijstopsomteken">
    <w:name w:val="List Bullet"/>
    <w:basedOn w:val="Standaard"/>
    <w:rsid w:val="00980EB1"/>
    <w:pPr>
      <w:numPr>
        <w:numId w:val="8"/>
      </w:numPr>
    </w:pPr>
    <w:rPr>
      <w:lang w:eastAsia="en-US"/>
    </w:rPr>
  </w:style>
  <w:style w:type="paragraph" w:styleId="Lijstopsomteken2">
    <w:name w:val="List Bullet 2"/>
    <w:basedOn w:val="Standaard"/>
    <w:rsid w:val="00980EB1"/>
    <w:pPr>
      <w:numPr>
        <w:numId w:val="10"/>
      </w:numPr>
    </w:pPr>
    <w:rPr>
      <w:lang w:eastAsia="en-US"/>
    </w:rPr>
  </w:style>
  <w:style w:type="paragraph" w:styleId="Lijstopsomteken3">
    <w:name w:val="List Bullet 3"/>
    <w:basedOn w:val="Standaard"/>
    <w:rsid w:val="00980EB1"/>
    <w:pPr>
      <w:numPr>
        <w:numId w:val="12"/>
      </w:numPr>
    </w:pPr>
    <w:rPr>
      <w:lang w:eastAsia="en-US"/>
    </w:rPr>
  </w:style>
  <w:style w:type="paragraph" w:styleId="Lijstnummering">
    <w:name w:val="List Number"/>
    <w:basedOn w:val="Standaard"/>
    <w:rsid w:val="00980EB1"/>
    <w:pPr>
      <w:numPr>
        <w:numId w:val="18"/>
      </w:numPr>
      <w:tabs>
        <w:tab w:val="left" w:pos="1225"/>
      </w:tabs>
    </w:pPr>
    <w:rPr>
      <w:lang w:eastAsia="en-US"/>
    </w:rPr>
  </w:style>
  <w:style w:type="paragraph" w:styleId="Lijstnummering2">
    <w:name w:val="List Number 2"/>
    <w:basedOn w:val="Standaard"/>
    <w:rsid w:val="00980EB1"/>
    <w:pPr>
      <w:numPr>
        <w:ilvl w:val="1"/>
        <w:numId w:val="18"/>
      </w:numPr>
    </w:pPr>
  </w:style>
  <w:style w:type="paragraph" w:styleId="Lijstnummering3">
    <w:name w:val="List Number 3"/>
    <w:basedOn w:val="Standaard"/>
    <w:rsid w:val="00980EB1"/>
    <w:pPr>
      <w:numPr>
        <w:ilvl w:val="2"/>
        <w:numId w:val="18"/>
      </w:numPr>
    </w:pPr>
  </w:style>
  <w:style w:type="paragraph" w:customStyle="1" w:styleId="Lijstalinea1">
    <w:name w:val="Lijstalinea1"/>
    <w:basedOn w:val="Standaard"/>
    <w:rsid w:val="00980EB1"/>
    <w:pPr>
      <w:adjustRightInd/>
      <w:spacing w:after="200" w:line="276" w:lineRule="auto"/>
      <w:ind w:left="720"/>
      <w:contextualSpacing/>
    </w:pPr>
    <w:rPr>
      <w:rFonts w:ascii="Calibri" w:hAnsi="Calibri"/>
      <w:sz w:val="22"/>
      <w:szCs w:val="22"/>
      <w:lang w:eastAsia="en-US"/>
    </w:rPr>
  </w:style>
  <w:style w:type="paragraph" w:styleId="Plattetekst">
    <w:name w:val="Body Text"/>
    <w:basedOn w:val="Standaard"/>
    <w:link w:val="PlattetekstChar"/>
    <w:rsid w:val="00980EB1"/>
    <w:pPr>
      <w:suppressAutoHyphens/>
      <w:adjustRightInd/>
      <w:spacing w:before="120"/>
    </w:pPr>
    <w:rPr>
      <w:rFonts w:cs="Arial"/>
      <w:lang w:val="en-GB" w:eastAsia="ar-SA"/>
    </w:rPr>
  </w:style>
  <w:style w:type="character" w:customStyle="1" w:styleId="PlattetekstChar">
    <w:name w:val="Platte tekst Char"/>
    <w:basedOn w:val="Standaardalinea-lettertype"/>
    <w:link w:val="Plattetekst"/>
    <w:rsid w:val="00980EB1"/>
    <w:rPr>
      <w:rFonts w:ascii="Arial" w:hAnsi="Arial" w:cs="Arial"/>
      <w:sz w:val="20"/>
      <w:szCs w:val="20"/>
      <w:lang w:val="en-GB" w:eastAsia="ar-SA"/>
    </w:rPr>
  </w:style>
  <w:style w:type="table" w:styleId="Tabelraster">
    <w:name w:val="Table Grid"/>
    <w:basedOn w:val="Standaardtabel"/>
    <w:rsid w:val="00980EB1"/>
    <w:pPr>
      <w:spacing w:after="0" w:line="240" w:lineRule="auto"/>
    </w:pPr>
    <w:rPr>
      <w:rFonts w:ascii="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rsid w:val="00980EB1"/>
    <w:pPr>
      <w:tabs>
        <w:tab w:val="center" w:pos="4320"/>
        <w:tab w:val="right" w:pos="8640"/>
      </w:tabs>
    </w:pPr>
  </w:style>
  <w:style w:type="character" w:customStyle="1" w:styleId="VoettekstChar">
    <w:name w:val="Voettekst Char"/>
    <w:basedOn w:val="Standaardalinea-lettertype"/>
    <w:link w:val="Voettekst"/>
    <w:rsid w:val="00980EB1"/>
    <w:rPr>
      <w:rFonts w:ascii="Arial" w:hAnsi="Arial" w:cs="Times New Roman"/>
      <w:sz w:val="20"/>
      <w:szCs w:val="20"/>
      <w:lang w:eastAsia="nl-NL"/>
    </w:rPr>
  </w:style>
  <w:style w:type="paragraph" w:styleId="Voetnoottekst">
    <w:name w:val="footnote text"/>
    <w:basedOn w:val="Standaard"/>
    <w:link w:val="VoetnoottekstChar"/>
    <w:uiPriority w:val="99"/>
    <w:semiHidden/>
    <w:rsid w:val="004B6009"/>
    <w:pPr>
      <w:adjustRightInd/>
      <w:spacing w:line="240" w:lineRule="auto"/>
      <w:ind w:left="113" w:hanging="113"/>
    </w:pPr>
    <w:rPr>
      <w:rFonts w:ascii="Verdana" w:hAnsi="Verdana"/>
      <w:sz w:val="14"/>
    </w:rPr>
  </w:style>
  <w:style w:type="character" w:customStyle="1" w:styleId="VoetnoottekstChar">
    <w:name w:val="Voetnoottekst Char"/>
    <w:basedOn w:val="Standaardalinea-lettertype"/>
    <w:link w:val="Voetnoottekst"/>
    <w:uiPriority w:val="99"/>
    <w:semiHidden/>
    <w:rsid w:val="004B6009"/>
    <w:rPr>
      <w:rFonts w:ascii="Verdana" w:hAnsi="Verdana" w:cs="Times New Roman"/>
      <w:sz w:val="14"/>
      <w:szCs w:val="20"/>
      <w:lang w:eastAsia="nl-NL"/>
    </w:rPr>
  </w:style>
  <w:style w:type="character" w:styleId="Voetnootmarkering">
    <w:name w:val="footnote reference"/>
    <w:uiPriority w:val="99"/>
    <w:semiHidden/>
    <w:rsid w:val="004B6009"/>
    <w:rPr>
      <w:rFonts w:ascii="Verdana" w:hAnsi="Verdana"/>
      <w:sz w:val="18"/>
      <w:vertAlign w:val="superscript"/>
    </w:rPr>
  </w:style>
  <w:style w:type="table" w:styleId="Rastertabel4-Accent1">
    <w:name w:val="Grid Table 4 Accent 1"/>
    <w:basedOn w:val="Standaardtabel"/>
    <w:uiPriority w:val="49"/>
    <w:rsid w:val="004B6009"/>
    <w:pPr>
      <w:spacing w:after="0" w:line="240" w:lineRule="auto"/>
    </w:pPr>
    <w:rPr>
      <w:rFonts w:ascii="Times New Roman" w:hAnsi="Times New Roman" w:cs="Times New Roman"/>
      <w:kern w:val="0"/>
      <w:sz w:val="20"/>
      <w:szCs w:val="20"/>
      <w:lang w:eastAsia="nl-NL"/>
      <w14:ligatures w14:val="none"/>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Heading3tussenkopChar">
    <w:name w:val="Heading 3 (tussenkop) Char"/>
    <w:basedOn w:val="Standaardalinea-lettertype"/>
    <w:link w:val="Heading3tussenkop"/>
    <w:locked/>
    <w:rsid w:val="00D264CE"/>
    <w:rPr>
      <w:rFonts w:ascii="Arial" w:hAnsi="Arial" w:cs="Arial"/>
      <w:b/>
      <w:bCs/>
      <w:color w:val="0076A8"/>
    </w:rPr>
  </w:style>
  <w:style w:type="paragraph" w:customStyle="1" w:styleId="Heading3tussenkop">
    <w:name w:val="Heading 3 (tussenkop)"/>
    <w:basedOn w:val="Standaard"/>
    <w:link w:val="Heading3tussenkopChar"/>
    <w:rsid w:val="00D264CE"/>
    <w:pPr>
      <w:adjustRightInd/>
      <w:spacing w:line="240" w:lineRule="auto"/>
    </w:pPr>
    <w:rPr>
      <w:rFonts w:cs="Arial"/>
      <w:b/>
      <w:bCs/>
      <w:color w:val="0076A8"/>
      <w:sz w:val="22"/>
      <w:szCs w:val="22"/>
      <w:lang w:eastAsia="en-US"/>
    </w:rPr>
  </w:style>
  <w:style w:type="character" w:styleId="GevolgdeHyperlink">
    <w:name w:val="FollowedHyperlink"/>
    <w:basedOn w:val="Standaardalinea-lettertype"/>
    <w:uiPriority w:val="99"/>
    <w:semiHidden/>
    <w:unhideWhenUsed/>
    <w:rsid w:val="00D264CE"/>
    <w:rPr>
      <w:color w:val="800080" w:themeColor="followedHyperlink"/>
      <w:u w:val="single"/>
    </w:rPr>
  </w:style>
  <w:style w:type="character" w:styleId="Onopgelostemelding">
    <w:name w:val="Unresolved Mention"/>
    <w:basedOn w:val="Standaardalinea-lettertype"/>
    <w:uiPriority w:val="99"/>
    <w:semiHidden/>
    <w:unhideWhenUsed/>
    <w:rsid w:val="00D264CE"/>
    <w:rPr>
      <w:color w:val="605E5C"/>
      <w:shd w:val="clear" w:color="auto" w:fill="E1DFDD"/>
    </w:rPr>
  </w:style>
  <w:style w:type="paragraph" w:styleId="Lijstalinea">
    <w:name w:val="List Paragraph"/>
    <w:basedOn w:val="Standaard"/>
    <w:uiPriority w:val="34"/>
    <w:qFormat/>
    <w:rsid w:val="00D264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856361">
      <w:bodyDiv w:val="1"/>
      <w:marLeft w:val="0"/>
      <w:marRight w:val="0"/>
      <w:marTop w:val="0"/>
      <w:marBottom w:val="0"/>
      <w:divBdr>
        <w:top w:val="none" w:sz="0" w:space="0" w:color="auto"/>
        <w:left w:val="none" w:sz="0" w:space="0" w:color="auto"/>
        <w:bottom w:val="none" w:sz="0" w:space="0" w:color="auto"/>
        <w:right w:val="none" w:sz="0" w:space="0" w:color="auto"/>
      </w:divBdr>
    </w:div>
    <w:div w:id="300812886">
      <w:bodyDiv w:val="1"/>
      <w:marLeft w:val="0"/>
      <w:marRight w:val="0"/>
      <w:marTop w:val="0"/>
      <w:marBottom w:val="0"/>
      <w:divBdr>
        <w:top w:val="none" w:sz="0" w:space="0" w:color="auto"/>
        <w:left w:val="none" w:sz="0" w:space="0" w:color="auto"/>
        <w:bottom w:val="none" w:sz="0" w:space="0" w:color="auto"/>
        <w:right w:val="none" w:sz="0" w:space="0" w:color="auto"/>
      </w:divBdr>
    </w:div>
    <w:div w:id="583033505">
      <w:bodyDiv w:val="1"/>
      <w:marLeft w:val="0"/>
      <w:marRight w:val="0"/>
      <w:marTop w:val="0"/>
      <w:marBottom w:val="0"/>
      <w:divBdr>
        <w:top w:val="none" w:sz="0" w:space="0" w:color="auto"/>
        <w:left w:val="none" w:sz="0" w:space="0" w:color="auto"/>
        <w:bottom w:val="none" w:sz="0" w:space="0" w:color="auto"/>
        <w:right w:val="none" w:sz="0" w:space="0" w:color="auto"/>
      </w:divBdr>
    </w:div>
    <w:div w:id="1984654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so-nederland.nl/over-de-pso/pso-30-abw-certificaat" TargetMode="External"/><Relationship Id="rId13" Type="http://schemas.openxmlformats.org/officeDocument/2006/relationships/hyperlink" Target="https://www.pso-nederland.nl/waarom-de-pso-bij-social-return" TargetMode="External"/><Relationship Id="rId3" Type="http://schemas.openxmlformats.org/officeDocument/2006/relationships/settings" Target="settings.xml"/><Relationship Id="rId7" Type="http://schemas.openxmlformats.org/officeDocument/2006/relationships/hyperlink" Target="https://www.tno.nl/nl/over-tno/organisatie/" TargetMode="External"/><Relationship Id="rId12" Type="http://schemas.openxmlformats.org/officeDocument/2006/relationships/hyperlink" Target="https://www.pso-nederland.nl/over-de-pso/voordelen-voor-uw-organisati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so-nederland.nl/gecertificeerde-organisaties-2/online-marktplaat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pso-nederland.nl/direct-meten-en-aanvragen/certificerende-instellingen" TargetMode="External"/><Relationship Id="rId4" Type="http://schemas.openxmlformats.org/officeDocument/2006/relationships/webSettings" Target="webSettings.xml"/><Relationship Id="rId9" Type="http://schemas.openxmlformats.org/officeDocument/2006/relationships/hyperlink" Target="https://www.mijnpso.nl/account-registreren" TargetMode="Externa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941</Words>
  <Characters>5180</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ONS Shared Service Center</Company>
  <LinksUpToDate>false</LinksUpToDate>
  <CharactersWithSpaces>6109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Leeuw, Henk de</dc:creator>
  <cp:keywords/>
  <dc:description/>
  <cp:lastModifiedBy>Remco Visser</cp:lastModifiedBy>
  <cp:revision>3</cp:revision>
  <dcterms:created xsi:type="dcterms:W3CDTF">2024-07-12T11:42:00Z</dcterms:created>
  <dcterms:modified xsi:type="dcterms:W3CDTF">2024-07-12T14:58:00Z</dcterms:modified>
</cp:coreProperties>
</file>